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1BA" w:rsidRPr="00935EE8" w:rsidRDefault="00A969D0">
      <w:pPr>
        <w:spacing w:line="600" w:lineRule="exact"/>
        <w:rPr>
          <w:rFonts w:ascii="方正楷体简体" w:eastAsia="方正楷体简体" w:hAnsi="Times New Roman" w:cs="Times New Roman"/>
          <w:color w:val="000000"/>
          <w:sz w:val="32"/>
          <w:szCs w:val="32"/>
          <w:shd w:val="clear" w:color="auto" w:fill="FFFFFF"/>
        </w:rPr>
      </w:pPr>
      <w:r w:rsidRPr="00935EE8">
        <w:rPr>
          <w:rFonts w:ascii="方正楷体简体" w:eastAsia="方正楷体简体" w:hAnsi="仿宋_GB2312" w:cs="Times New Roman" w:hint="eastAsia"/>
          <w:color w:val="000000"/>
          <w:sz w:val="32"/>
          <w:szCs w:val="32"/>
          <w:shd w:val="clear" w:color="auto" w:fill="FFFFFF"/>
        </w:rPr>
        <w:t>附件</w:t>
      </w:r>
    </w:p>
    <w:p w:rsidR="00A201BA" w:rsidRDefault="00A969D0">
      <w:pPr>
        <w:spacing w:line="640" w:lineRule="exact"/>
        <w:jc w:val="center"/>
        <w:rPr>
          <w:rFonts w:ascii="Times New Roman" w:eastAsia="方正小标宋简体" w:hAnsi="Times New Roman" w:cs="Times New Roman"/>
          <w:sz w:val="44"/>
          <w:szCs w:val="44"/>
        </w:rPr>
      </w:pPr>
      <w:r>
        <w:rPr>
          <w:rFonts w:ascii="方正小标宋简体" w:eastAsia="方正小标宋简体" w:hAnsi="Times New Roman" w:cs="Times New Roman" w:hint="eastAsia"/>
          <w:sz w:val="44"/>
          <w:szCs w:val="44"/>
        </w:rPr>
        <w:t>2021-2022年</w:t>
      </w:r>
      <w:r>
        <w:rPr>
          <w:rFonts w:ascii="Times New Roman" w:eastAsia="方正小标宋简体" w:hAnsi="Times New Roman" w:cs="Times New Roman"/>
          <w:sz w:val="44"/>
          <w:szCs w:val="44"/>
        </w:rPr>
        <w:t>度专业技术人员</w:t>
      </w:r>
    </w:p>
    <w:p w:rsidR="00A201BA" w:rsidRDefault="00A969D0">
      <w:pPr>
        <w:spacing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继续教育公需科目</w:t>
      </w:r>
      <w:r>
        <w:rPr>
          <w:rFonts w:ascii="Times New Roman" w:eastAsia="方正小标宋简体" w:hAnsi="Times New Roman" w:cs="Times New Roman" w:hint="eastAsia"/>
          <w:sz w:val="44"/>
          <w:szCs w:val="44"/>
        </w:rPr>
        <w:t>课程表</w:t>
      </w:r>
    </w:p>
    <w:p w:rsidR="00A201BA" w:rsidRDefault="00A201BA">
      <w:pPr>
        <w:spacing w:line="600" w:lineRule="exact"/>
        <w:jc w:val="center"/>
        <w:rPr>
          <w:rFonts w:ascii="Times New Roman" w:eastAsia="仿宋_GB2312" w:hAnsi="Times New Roman" w:cs="Times New Roman"/>
          <w:b/>
          <w:color w:val="000000"/>
          <w:sz w:val="44"/>
          <w:szCs w:val="44"/>
          <w:shd w:val="clear" w:color="auto" w:fill="FFFFFF"/>
        </w:rPr>
      </w:pPr>
    </w:p>
    <w:tbl>
      <w:tblPr>
        <w:tblW w:w="9361" w:type="dxa"/>
        <w:jc w:val="center"/>
        <w:tblLook w:val="04A0"/>
      </w:tblPr>
      <w:tblGrid>
        <w:gridCol w:w="639"/>
        <w:gridCol w:w="4276"/>
        <w:gridCol w:w="1080"/>
        <w:gridCol w:w="3366"/>
      </w:tblGrid>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一、成渝地区双城经济圈建设政策解读</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w:t>
            </w:r>
          </w:p>
        </w:tc>
        <w:tc>
          <w:tcPr>
            <w:tcW w:w="4276" w:type="dxa"/>
            <w:tcBorders>
              <w:top w:val="nil"/>
              <w:left w:val="nil"/>
              <w:bottom w:val="single" w:sz="4" w:space="0" w:color="auto"/>
              <w:right w:val="single" w:sz="4" w:space="0" w:color="auto"/>
            </w:tcBorders>
            <w:vAlign w:val="center"/>
          </w:tcPr>
          <w:p w:rsidR="00A201BA" w:rsidRDefault="00A969D0">
            <w:pPr>
              <w:widowControl/>
              <w:spacing w:line="280" w:lineRule="exact"/>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交通强国建设“两步走”线路图，着力打造“三张交通网”“两个交通圈” ——《交通强国建设纲要》解读（上）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陆化普</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清华大学交通研究所所长、博士生导师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2</w:t>
            </w:r>
          </w:p>
        </w:tc>
        <w:tc>
          <w:tcPr>
            <w:tcW w:w="4276" w:type="dxa"/>
            <w:tcBorders>
              <w:top w:val="nil"/>
              <w:left w:val="nil"/>
              <w:bottom w:val="single" w:sz="4" w:space="0" w:color="auto"/>
              <w:right w:val="single" w:sz="4" w:space="0" w:color="auto"/>
            </w:tcBorders>
            <w:vAlign w:val="center"/>
          </w:tcPr>
          <w:p w:rsidR="00A201BA" w:rsidRDefault="00A969D0">
            <w:pPr>
              <w:widowControl/>
              <w:spacing w:line="280" w:lineRule="exact"/>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交通强国建设“两步走”线路图，着力打造“三张交通网”“两个交通圈” ——《交通强国建设纲要》解读（下）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陆化普</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清华大学交通研究所所长、博士生导师</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二、“十四五”规划纲要全面解析</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3</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党的十九届五中全会精神总体解读——“十四五”规划建议的重点和亮点（上）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徐洪才</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中国政策科学研究会经济政策委员会副主任</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4</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党的十九届五中全会精神总体解读——“十四五”规划建议的重点和亮点（下）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徐洪才</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中国政策科学研究会经济政策委员会副主任</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5</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加快新型基础设施建设，全面提速数字中国建设（上）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韦柳融</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中国信息通信研究院政经所发展与经济研究部主任</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6</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加快新型基础设施建设，全面提速数字中国建设（中）</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韦柳融</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中国信息通信研究院政经所发展与经济研究部主任</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7</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加快新型基础设施建设，全面提速数字中国建设（下）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韦柳融</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中国信息通信研究院政经所发展与经济研究部主任</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8</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优先发展农业农村，全面推进乡村振兴（上）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柯炳生</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中国农业大学原校长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lastRenderedPageBreak/>
              <w:t>9</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优先发展农业农村，全面推进乡村振兴（中）</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柯炳生</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中国农业大学原校长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10</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优先发展农业农村，全面推进乡村振兴（下）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柯炳生</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中国农业大学原校长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11</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建设高质量教育体系，促进全民受教育程度不断提升（一）</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高书国</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中国教育学会副秘书长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12</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建设高质量教育体系，促进全民受教育程度不断提升（二）</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高书国</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中国教育学会副秘书长</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13</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建设高质量教育体系，促进全民受教育程度不断提升（三）</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高书国</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中国教育学会副秘书长</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14</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建设高质量教育体系，促进全民受教育程度不断提升（四）</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高书国</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中国教育学会副秘书长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15</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全面推进健康中国建设，加快优质医疗资源扩容和区域均衡布局（上）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游茂</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国家卫健委卫生研究发展中心研究员</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16</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全面推进健康中国建设，加快优质医疗资源扩容和区域均衡布局（下）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游茂</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国家卫健委卫生研究发展中心研究员</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三、《民法典》解读及法治思想能力建设</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1、《民法典》解读</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17</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民法典人格权编解读（上）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刘智慧</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中国政法大学民商经济法学院教授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18</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民法典人格权编解读（下）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刘智慧</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中国政法大学民商经济法学院教授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19</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民法典侵权责任编解读（上）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张新宝</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中国人民大学法学院教授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20</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民法典侵权责任编解读（下）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张新宝</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中国人民大学法学院教授</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lastRenderedPageBreak/>
              <w:t>2、法治思想能力建设</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21</w:t>
            </w:r>
          </w:p>
        </w:tc>
        <w:tc>
          <w:tcPr>
            <w:tcW w:w="4276" w:type="dxa"/>
            <w:tcBorders>
              <w:top w:val="nil"/>
              <w:left w:val="nil"/>
              <w:bottom w:val="single" w:sz="4" w:space="0" w:color="auto"/>
              <w:right w:val="single" w:sz="4" w:space="0" w:color="auto"/>
            </w:tcBorders>
            <w:vAlign w:val="center"/>
          </w:tcPr>
          <w:p w:rsidR="00A201BA" w:rsidRDefault="00A969D0">
            <w:pPr>
              <w:widowControl/>
              <w:spacing w:line="280" w:lineRule="exact"/>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坚持习近平法治思想——深入学习贯彻习近平总书记在中央全面依法治国工作会议上重要讲话精神（上）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胡锦光</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中国人民大学法学院副院长/教授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22</w:t>
            </w:r>
          </w:p>
        </w:tc>
        <w:tc>
          <w:tcPr>
            <w:tcW w:w="4276" w:type="dxa"/>
            <w:tcBorders>
              <w:top w:val="nil"/>
              <w:left w:val="nil"/>
              <w:bottom w:val="single" w:sz="4" w:space="0" w:color="auto"/>
              <w:right w:val="single" w:sz="4" w:space="0" w:color="auto"/>
            </w:tcBorders>
            <w:vAlign w:val="center"/>
          </w:tcPr>
          <w:p w:rsidR="00A201BA" w:rsidRDefault="00A969D0">
            <w:pPr>
              <w:widowControl/>
              <w:spacing w:line="280" w:lineRule="exact"/>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坚持习近平法治思想——深入学习贯彻习近平总书记在中央全面依法治国工作会议上重要讲话精神（中）</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胡锦光</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中国人民大学法学院副院长/教授</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23</w:t>
            </w:r>
          </w:p>
        </w:tc>
        <w:tc>
          <w:tcPr>
            <w:tcW w:w="4276" w:type="dxa"/>
            <w:tcBorders>
              <w:top w:val="nil"/>
              <w:left w:val="nil"/>
              <w:bottom w:val="single" w:sz="4" w:space="0" w:color="auto"/>
              <w:right w:val="single" w:sz="4" w:space="0" w:color="auto"/>
            </w:tcBorders>
            <w:vAlign w:val="center"/>
          </w:tcPr>
          <w:p w:rsidR="00A201BA" w:rsidRDefault="00A969D0">
            <w:pPr>
              <w:widowControl/>
              <w:spacing w:line="280" w:lineRule="exact"/>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坚持习近平法治思想——深入学习贯彻习近平总书记在中央全面依法治国工作会议上重要讲话精神（下）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胡锦光</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中国人民大学法学院副院长/教授</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四、量子信息</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24</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改变世界的新科技——量子计算</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无人授课</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融媒体技术合成</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五、集成电路</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501"/>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25</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我国集成电路芯片产业的现状及发展路径（上）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滕冉</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赛迪顾问集成电路产业研究中心副总经理</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kern w:val="0"/>
                <w:sz w:val="18"/>
                <w:szCs w:val="18"/>
              </w:rPr>
              <w:t>26</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我国集成电路芯片产业的现状及发展路径（下）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滕冉</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赛迪顾问集成电路产业研究中心副总经理</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六、知识产权</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2</w:t>
            </w:r>
            <w:r>
              <w:rPr>
                <w:rFonts w:ascii="方正楷体简体" w:eastAsia="方正楷体简体" w:hAnsi="楷体" w:cs="宋体"/>
                <w:color w:val="000000"/>
                <w:kern w:val="0"/>
                <w:sz w:val="18"/>
                <w:szCs w:val="18"/>
              </w:rPr>
              <w:t>7</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依法保护知识产权，提高知识产权保护工作法治化水平（上）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周长玲</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中国政法大学知识产权法研究所副所长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2</w:t>
            </w:r>
            <w:r>
              <w:rPr>
                <w:rFonts w:ascii="方正楷体简体" w:eastAsia="方正楷体简体" w:hAnsi="楷体" w:cs="宋体"/>
                <w:color w:val="000000"/>
                <w:kern w:val="0"/>
                <w:sz w:val="18"/>
                <w:szCs w:val="18"/>
              </w:rPr>
              <w:t>8</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依法保护知识产权，提高知识产权保护工作法治化水平（中）</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周长玲</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中国政法大学知识产权法研究所副所长</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lastRenderedPageBreak/>
              <w:t>2</w:t>
            </w:r>
            <w:r>
              <w:rPr>
                <w:rFonts w:ascii="方正楷体简体" w:eastAsia="方正楷体简体" w:hAnsi="楷体" w:cs="宋体"/>
                <w:color w:val="000000"/>
                <w:kern w:val="0"/>
                <w:sz w:val="18"/>
                <w:szCs w:val="18"/>
              </w:rPr>
              <w:t>9</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依法保护知识产权，提高知识产权保护工作法治化水平（下）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周长玲</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中国政法大学知识产权法研究所副所长</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七、住建安全知识培训</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color w:val="000000"/>
                <w:kern w:val="0"/>
                <w:sz w:val="18"/>
                <w:szCs w:val="18"/>
              </w:rPr>
              <w:t>30</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建筑施工应急管理与风险管控（上）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李银富</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中交四公局建筑工程有限公司安全总监</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3</w:t>
            </w:r>
            <w:r>
              <w:rPr>
                <w:rFonts w:ascii="方正楷体简体" w:eastAsia="方正楷体简体" w:hAnsi="楷体" w:cs="宋体"/>
                <w:color w:val="000000"/>
                <w:kern w:val="0"/>
                <w:sz w:val="18"/>
                <w:szCs w:val="18"/>
              </w:rPr>
              <w:t>1</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建筑施工应急管理与风险管控（下）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李银富</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中交四公局建筑工程有限公司安全总监</w:t>
            </w:r>
          </w:p>
        </w:tc>
      </w:tr>
      <w:tr w:rsidR="00A201BA">
        <w:trPr>
          <w:trHeight w:val="480"/>
          <w:jc w:val="center"/>
        </w:trPr>
        <w:tc>
          <w:tcPr>
            <w:tcW w:w="9361" w:type="dxa"/>
            <w:gridSpan w:val="4"/>
            <w:tcBorders>
              <w:top w:val="single" w:sz="4" w:space="0" w:color="auto"/>
              <w:left w:val="single" w:sz="4" w:space="0" w:color="auto"/>
              <w:bottom w:val="nil"/>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八、生态文明建设和生态环境保护</w:t>
            </w:r>
          </w:p>
        </w:tc>
      </w:tr>
      <w:tr w:rsidR="00A201BA">
        <w:trPr>
          <w:trHeight w:val="480"/>
          <w:jc w:val="center"/>
        </w:trPr>
        <w:tc>
          <w:tcPr>
            <w:tcW w:w="639" w:type="dxa"/>
            <w:tcBorders>
              <w:top w:val="single" w:sz="4" w:space="0" w:color="auto"/>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序号</w:t>
            </w:r>
          </w:p>
        </w:tc>
        <w:tc>
          <w:tcPr>
            <w:tcW w:w="427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课程题目</w:t>
            </w:r>
          </w:p>
        </w:tc>
        <w:tc>
          <w:tcPr>
            <w:tcW w:w="1080"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主讲人</w:t>
            </w:r>
          </w:p>
        </w:tc>
        <w:tc>
          <w:tcPr>
            <w:tcW w:w="3366" w:type="dxa"/>
            <w:tcBorders>
              <w:top w:val="single" w:sz="4" w:space="0" w:color="auto"/>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b/>
                <w:bCs/>
                <w:color w:val="000000"/>
                <w:kern w:val="0"/>
                <w:sz w:val="18"/>
                <w:szCs w:val="18"/>
              </w:rPr>
            </w:pPr>
            <w:r>
              <w:rPr>
                <w:rFonts w:ascii="方正楷体简体" w:eastAsia="方正楷体简体" w:hAnsi="楷体" w:cs="宋体" w:hint="eastAsia"/>
                <w:b/>
                <w:bCs/>
                <w:color w:val="000000"/>
                <w:kern w:val="0"/>
                <w:sz w:val="18"/>
                <w:szCs w:val="18"/>
              </w:rPr>
              <w:t>职务</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3</w:t>
            </w:r>
            <w:r>
              <w:rPr>
                <w:rFonts w:ascii="方正楷体简体" w:eastAsia="方正楷体简体" w:hAnsi="楷体" w:cs="宋体"/>
                <w:color w:val="000000"/>
                <w:kern w:val="0"/>
                <w:sz w:val="18"/>
                <w:szCs w:val="18"/>
              </w:rPr>
              <w:t>2</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《全国重要生态系统保护和修复重大工程总体规划（2021-2035年）》，优化生态安全屏障体系（上）</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董战峰</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生态环境部环境规划院研究员</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color w:val="000000"/>
                <w:kern w:val="0"/>
                <w:sz w:val="18"/>
                <w:szCs w:val="18"/>
              </w:rPr>
              <w:t>33</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《全国重要生态系统保护和修复重大工程总体规划（2021-2035年）》，优化生态安全屏障体系（中）</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董战峰</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生态环境部环境规划院研究员</w:t>
            </w:r>
          </w:p>
        </w:tc>
      </w:tr>
      <w:tr w:rsidR="00A201BA">
        <w:trPr>
          <w:trHeight w:val="480"/>
          <w:jc w:val="center"/>
        </w:trPr>
        <w:tc>
          <w:tcPr>
            <w:tcW w:w="639" w:type="dxa"/>
            <w:tcBorders>
              <w:top w:val="nil"/>
              <w:left w:val="single" w:sz="4" w:space="0" w:color="auto"/>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color w:val="000000"/>
                <w:kern w:val="0"/>
                <w:sz w:val="18"/>
                <w:szCs w:val="18"/>
              </w:rPr>
            </w:pPr>
            <w:r>
              <w:rPr>
                <w:rFonts w:ascii="方正楷体简体" w:eastAsia="方正楷体简体" w:hAnsi="楷体" w:cs="宋体" w:hint="eastAsia"/>
                <w:color w:val="000000"/>
                <w:kern w:val="0"/>
                <w:sz w:val="18"/>
                <w:szCs w:val="18"/>
              </w:rPr>
              <w:t>3</w:t>
            </w:r>
            <w:r>
              <w:rPr>
                <w:rFonts w:ascii="方正楷体简体" w:eastAsia="方正楷体简体" w:hAnsi="楷体" w:cs="宋体"/>
                <w:color w:val="000000"/>
                <w:kern w:val="0"/>
                <w:sz w:val="18"/>
                <w:szCs w:val="18"/>
              </w:rPr>
              <w:t>4</w:t>
            </w:r>
          </w:p>
        </w:tc>
        <w:tc>
          <w:tcPr>
            <w:tcW w:w="427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《全国重要生态系统保护和修复重大工程总体规划（2021-2035年）》，优化生态安全屏障体系（下）</w:t>
            </w:r>
          </w:p>
        </w:tc>
        <w:tc>
          <w:tcPr>
            <w:tcW w:w="1080" w:type="dxa"/>
            <w:tcBorders>
              <w:top w:val="nil"/>
              <w:left w:val="nil"/>
              <w:bottom w:val="single" w:sz="4" w:space="0" w:color="auto"/>
              <w:right w:val="single" w:sz="4" w:space="0" w:color="auto"/>
            </w:tcBorders>
            <w:vAlign w:val="center"/>
          </w:tcPr>
          <w:p w:rsidR="00A201BA" w:rsidRDefault="00A969D0">
            <w:pPr>
              <w:widowControl/>
              <w:jc w:val="center"/>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董战峰</w:t>
            </w:r>
          </w:p>
        </w:tc>
        <w:tc>
          <w:tcPr>
            <w:tcW w:w="3366" w:type="dxa"/>
            <w:tcBorders>
              <w:top w:val="nil"/>
              <w:left w:val="nil"/>
              <w:bottom w:val="single" w:sz="4" w:space="0" w:color="auto"/>
              <w:right w:val="single" w:sz="4" w:space="0" w:color="auto"/>
            </w:tcBorders>
            <w:vAlign w:val="center"/>
          </w:tcPr>
          <w:p w:rsidR="00A201BA" w:rsidRDefault="00A969D0">
            <w:pPr>
              <w:widowControl/>
              <w:jc w:val="left"/>
              <w:rPr>
                <w:rFonts w:ascii="方正楷体简体" w:eastAsia="方正楷体简体" w:hAnsi="楷体" w:cs="宋体"/>
                <w:kern w:val="0"/>
                <w:sz w:val="18"/>
                <w:szCs w:val="18"/>
              </w:rPr>
            </w:pPr>
            <w:r>
              <w:rPr>
                <w:rFonts w:ascii="方正楷体简体" w:eastAsia="方正楷体简体" w:hAnsi="楷体" w:cs="宋体" w:hint="eastAsia"/>
                <w:kern w:val="0"/>
                <w:sz w:val="18"/>
                <w:szCs w:val="18"/>
              </w:rPr>
              <w:t>生态环境部环境规划院研究员</w:t>
            </w:r>
          </w:p>
        </w:tc>
      </w:tr>
    </w:tbl>
    <w:p w:rsidR="00A201BA" w:rsidRDefault="00A201BA" w:rsidP="000C5B6A">
      <w:pPr>
        <w:spacing w:line="600" w:lineRule="exact"/>
        <w:ind w:firstLineChars="200" w:firstLine="883"/>
        <w:jc w:val="center"/>
        <w:rPr>
          <w:rFonts w:ascii="Times New Roman" w:eastAsia="仿宋_GB2312" w:hAnsi="Times New Roman" w:cs="Times New Roman"/>
          <w:b/>
          <w:sz w:val="44"/>
          <w:szCs w:val="44"/>
        </w:rPr>
      </w:pPr>
    </w:p>
    <w:sectPr w:rsidR="00A201BA" w:rsidSect="00A201BA">
      <w:pgSz w:w="11906" w:h="16838"/>
      <w:pgMar w:top="1701" w:right="1588" w:bottom="1701" w:left="158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C35" w:rsidRDefault="00FB5C35" w:rsidP="00103E62">
      <w:pPr>
        <w:ind w:firstLine="720"/>
      </w:pPr>
      <w:r>
        <w:separator/>
      </w:r>
    </w:p>
  </w:endnote>
  <w:endnote w:type="continuationSeparator" w:id="1">
    <w:p w:rsidR="00FB5C35" w:rsidRDefault="00FB5C35" w:rsidP="00103E62">
      <w:pPr>
        <w:ind w:firstLine="7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楷体简体">
    <w:altName w:val="Arial Unicode MS"/>
    <w:charset w:val="86"/>
    <w:family w:val="auto"/>
    <w:pitch w:val="variable"/>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C35" w:rsidRDefault="00FB5C35" w:rsidP="00103E62">
      <w:pPr>
        <w:ind w:firstLine="720"/>
      </w:pPr>
      <w:r>
        <w:separator/>
      </w:r>
    </w:p>
  </w:footnote>
  <w:footnote w:type="continuationSeparator" w:id="1">
    <w:p w:rsidR="00FB5C35" w:rsidRDefault="00FB5C35" w:rsidP="00103E62">
      <w:pPr>
        <w:ind w:firstLine="7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50CE"/>
    <w:rsid w:val="BDFF6388"/>
    <w:rsid w:val="F2624027"/>
    <w:rsid w:val="FE2C5858"/>
    <w:rsid w:val="000117AC"/>
    <w:rsid w:val="00042988"/>
    <w:rsid w:val="000516EE"/>
    <w:rsid w:val="00067476"/>
    <w:rsid w:val="000C4FBE"/>
    <w:rsid w:val="000C5B6A"/>
    <w:rsid w:val="000E27D4"/>
    <w:rsid w:val="000F68EE"/>
    <w:rsid w:val="00103E62"/>
    <w:rsid w:val="00163186"/>
    <w:rsid w:val="0024358A"/>
    <w:rsid w:val="00243D11"/>
    <w:rsid w:val="00292AA7"/>
    <w:rsid w:val="003374B9"/>
    <w:rsid w:val="003416B0"/>
    <w:rsid w:val="0037292E"/>
    <w:rsid w:val="003C631D"/>
    <w:rsid w:val="003E2C83"/>
    <w:rsid w:val="003F211F"/>
    <w:rsid w:val="00404D67"/>
    <w:rsid w:val="00456331"/>
    <w:rsid w:val="00467DE8"/>
    <w:rsid w:val="004C6A29"/>
    <w:rsid w:val="005127D0"/>
    <w:rsid w:val="005D4D12"/>
    <w:rsid w:val="006513B6"/>
    <w:rsid w:val="00680C7A"/>
    <w:rsid w:val="006901A2"/>
    <w:rsid w:val="006D62A7"/>
    <w:rsid w:val="00874893"/>
    <w:rsid w:val="0091360F"/>
    <w:rsid w:val="009226F7"/>
    <w:rsid w:val="00935EE8"/>
    <w:rsid w:val="00984CEF"/>
    <w:rsid w:val="009B43FF"/>
    <w:rsid w:val="009F77CB"/>
    <w:rsid w:val="00A201BA"/>
    <w:rsid w:val="00A235F7"/>
    <w:rsid w:val="00A969D0"/>
    <w:rsid w:val="00AC7F64"/>
    <w:rsid w:val="00B4339C"/>
    <w:rsid w:val="00C3193C"/>
    <w:rsid w:val="00C71D30"/>
    <w:rsid w:val="00E16597"/>
    <w:rsid w:val="00E41733"/>
    <w:rsid w:val="00F850CE"/>
    <w:rsid w:val="00FB5C35"/>
    <w:rsid w:val="017D4785"/>
    <w:rsid w:val="01944CF1"/>
    <w:rsid w:val="050040AE"/>
    <w:rsid w:val="056343DA"/>
    <w:rsid w:val="07107D3F"/>
    <w:rsid w:val="078D2118"/>
    <w:rsid w:val="099A5C09"/>
    <w:rsid w:val="0BA229EC"/>
    <w:rsid w:val="0C18071A"/>
    <w:rsid w:val="0C8F69E6"/>
    <w:rsid w:val="0D866C6A"/>
    <w:rsid w:val="0EA60921"/>
    <w:rsid w:val="0EBA41A0"/>
    <w:rsid w:val="10AD6873"/>
    <w:rsid w:val="112A1577"/>
    <w:rsid w:val="15426EF5"/>
    <w:rsid w:val="16452798"/>
    <w:rsid w:val="1669572F"/>
    <w:rsid w:val="172F0616"/>
    <w:rsid w:val="17AB3FCE"/>
    <w:rsid w:val="188F346C"/>
    <w:rsid w:val="192009C4"/>
    <w:rsid w:val="1BDA6187"/>
    <w:rsid w:val="220940D0"/>
    <w:rsid w:val="232B721A"/>
    <w:rsid w:val="243F5E77"/>
    <w:rsid w:val="264743F1"/>
    <w:rsid w:val="26F44DA2"/>
    <w:rsid w:val="29AC4C12"/>
    <w:rsid w:val="2B780B70"/>
    <w:rsid w:val="2E012E3E"/>
    <w:rsid w:val="2FAD52E9"/>
    <w:rsid w:val="2FB71B17"/>
    <w:rsid w:val="2FDA3EAA"/>
    <w:rsid w:val="30DD596A"/>
    <w:rsid w:val="34675860"/>
    <w:rsid w:val="36655F1D"/>
    <w:rsid w:val="36B53B58"/>
    <w:rsid w:val="3C2838BC"/>
    <w:rsid w:val="3C67BA6A"/>
    <w:rsid w:val="3C7A2FBC"/>
    <w:rsid w:val="3D382AB9"/>
    <w:rsid w:val="3F1365F5"/>
    <w:rsid w:val="44680FEA"/>
    <w:rsid w:val="46834503"/>
    <w:rsid w:val="46AC251F"/>
    <w:rsid w:val="48B14265"/>
    <w:rsid w:val="4C11099B"/>
    <w:rsid w:val="4CC22942"/>
    <w:rsid w:val="4FF76DA7"/>
    <w:rsid w:val="50DF3374"/>
    <w:rsid w:val="51152FA7"/>
    <w:rsid w:val="525269E9"/>
    <w:rsid w:val="53A35D5F"/>
    <w:rsid w:val="53AD37D9"/>
    <w:rsid w:val="54DE7F76"/>
    <w:rsid w:val="56837A94"/>
    <w:rsid w:val="56966DF5"/>
    <w:rsid w:val="58350C21"/>
    <w:rsid w:val="590C0BD0"/>
    <w:rsid w:val="5A37756A"/>
    <w:rsid w:val="5A7233D9"/>
    <w:rsid w:val="5BD1275F"/>
    <w:rsid w:val="5BD226E7"/>
    <w:rsid w:val="5C5F7EB6"/>
    <w:rsid w:val="5C9E4370"/>
    <w:rsid w:val="60F32E97"/>
    <w:rsid w:val="610C5242"/>
    <w:rsid w:val="617C7839"/>
    <w:rsid w:val="61A655CF"/>
    <w:rsid w:val="63705676"/>
    <w:rsid w:val="64721E72"/>
    <w:rsid w:val="65F97B12"/>
    <w:rsid w:val="664C6D27"/>
    <w:rsid w:val="6DB20D48"/>
    <w:rsid w:val="6E040D9B"/>
    <w:rsid w:val="73CA0DE2"/>
    <w:rsid w:val="740102B5"/>
    <w:rsid w:val="743004B0"/>
    <w:rsid w:val="74873B22"/>
    <w:rsid w:val="75E85ABE"/>
    <w:rsid w:val="77A81CB2"/>
    <w:rsid w:val="77E94423"/>
    <w:rsid w:val="78F663BB"/>
    <w:rsid w:val="79F30A0D"/>
    <w:rsid w:val="7A336092"/>
    <w:rsid w:val="7A500CFF"/>
    <w:rsid w:val="7BB51C2B"/>
    <w:rsid w:val="7BE85B30"/>
    <w:rsid w:val="7EFA17EB"/>
    <w:rsid w:val="7F2477B8"/>
    <w:rsid w:val="7FFE1E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1B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201BA"/>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201BA"/>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201B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sid w:val="00A201BA"/>
    <w:rPr>
      <w:color w:val="0000FF" w:themeColor="hyperlink"/>
      <w:u w:val="single"/>
    </w:rPr>
  </w:style>
  <w:style w:type="character" w:customStyle="1" w:styleId="Char0">
    <w:name w:val="页眉 Char"/>
    <w:basedOn w:val="a0"/>
    <w:link w:val="a4"/>
    <w:uiPriority w:val="99"/>
    <w:semiHidden/>
    <w:qFormat/>
    <w:rsid w:val="00A201BA"/>
    <w:rPr>
      <w:sz w:val="18"/>
      <w:szCs w:val="18"/>
    </w:rPr>
  </w:style>
  <w:style w:type="character" w:customStyle="1" w:styleId="Char">
    <w:name w:val="页脚 Char"/>
    <w:basedOn w:val="a0"/>
    <w:link w:val="a3"/>
    <w:uiPriority w:val="99"/>
    <w:semiHidden/>
    <w:qFormat/>
    <w:rsid w:val="00A201BA"/>
    <w:rPr>
      <w:sz w:val="18"/>
      <w:szCs w:val="18"/>
    </w:rPr>
  </w:style>
  <w:style w:type="paragraph" w:styleId="a7">
    <w:name w:val="List Paragraph"/>
    <w:basedOn w:val="a"/>
    <w:uiPriority w:val="34"/>
    <w:qFormat/>
    <w:rsid w:val="00A201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315</Words>
  <Characters>1799</Characters>
  <Application>Microsoft Office Word</Application>
  <DocSecurity>0</DocSecurity>
  <Lines>14</Lines>
  <Paragraphs>4</Paragraphs>
  <ScaleCrop>false</ScaleCrop>
  <Company>Hewlett-Packard Company</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ivviw</cp:lastModifiedBy>
  <cp:revision>14</cp:revision>
  <dcterms:created xsi:type="dcterms:W3CDTF">2021-08-16T11:50:00Z</dcterms:created>
  <dcterms:modified xsi:type="dcterms:W3CDTF">2021-08-19T16:16:00Z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